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A484C23"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BB416F">
        <w:rPr>
          <w:rFonts w:cs="B Mitra" w:hint="cs"/>
          <w:b/>
          <w:bCs/>
          <w:sz w:val="32"/>
          <w:szCs w:val="32"/>
          <w:rtl/>
          <w:lang w:bidi="fa-IR"/>
        </w:rPr>
        <w:t>5</w:t>
      </w:r>
      <w:r w:rsidR="00DE49FA">
        <w:rPr>
          <w:rFonts w:cs="B Mitra" w:hint="cs"/>
          <w:b/>
          <w:bCs/>
          <w:sz w:val="32"/>
          <w:szCs w:val="32"/>
          <w:rtl/>
          <w:lang w:bidi="fa-IR"/>
        </w:rPr>
        <w:t>2</w:t>
      </w:r>
    </w:p>
    <w:p w14:paraId="6CE46B30" w14:textId="649AF9E4" w:rsidR="00DE49FA" w:rsidRPr="0087360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pacing w:val="-2"/>
          <w:sz w:val="28"/>
          <w:szCs w:val="28"/>
          <w:rtl/>
          <w:lang w:bidi="fa-IR"/>
        </w:rPr>
      </w:pPr>
      <w:r w:rsidRPr="0087360A">
        <w:rPr>
          <w:rFonts w:ascii="Traditional Arabic" w:hAnsi="Traditional Arabic" w:cs="Abz-2 (Badr)" w:hint="cs"/>
          <w:color w:val="000000"/>
          <w:spacing w:val="-2"/>
          <w:sz w:val="28"/>
          <w:szCs w:val="28"/>
          <w:rtl/>
          <w:lang w:bidi="fa-IR"/>
        </w:rPr>
        <w:t>در فرع سوم</w:t>
      </w:r>
      <w:r>
        <w:rPr>
          <w:rFonts w:ascii="Traditional Arabic" w:hAnsi="Traditional Arabic" w:cs="Abz-2 (Badr)" w:hint="cs"/>
          <w:color w:val="000000"/>
          <w:spacing w:val="-2"/>
          <w:sz w:val="28"/>
          <w:szCs w:val="28"/>
          <w:rtl/>
          <w:lang w:bidi="fa-IR"/>
        </w:rPr>
        <w:t>ی که در کلمات صاحب جوا</w:t>
      </w:r>
      <w:r w:rsidR="008643C3">
        <w:rPr>
          <w:rFonts w:ascii="Traditional Arabic" w:hAnsi="Traditional Arabic" w:cs="Abz-2 (Badr)" w:hint="cs"/>
          <w:color w:val="000000"/>
          <w:spacing w:val="-2"/>
          <w:sz w:val="28"/>
          <w:szCs w:val="28"/>
          <w:rtl/>
          <w:lang w:bidi="fa-IR"/>
        </w:rPr>
        <w:t>ه</w:t>
      </w:r>
      <w:r>
        <w:rPr>
          <w:rFonts w:ascii="Traditional Arabic" w:hAnsi="Traditional Arabic" w:cs="Abz-2 (Badr)" w:hint="cs"/>
          <w:color w:val="000000"/>
          <w:spacing w:val="-2"/>
          <w:sz w:val="28"/>
          <w:szCs w:val="28"/>
          <w:rtl/>
          <w:lang w:bidi="fa-IR"/>
        </w:rPr>
        <w:t>ر گذشت،</w:t>
      </w:r>
      <w:r w:rsidRPr="0087360A">
        <w:rPr>
          <w:rFonts w:ascii="Traditional Arabic" w:hAnsi="Traditional Arabic" w:cs="Abz-2 (Badr)" w:hint="cs"/>
          <w:color w:val="000000"/>
          <w:spacing w:val="-2"/>
          <w:sz w:val="28"/>
          <w:szCs w:val="28"/>
          <w:rtl/>
          <w:lang w:bidi="fa-IR"/>
        </w:rPr>
        <w:t xml:space="preserve"> وجهی برای تأمل در جايی که مهر عين متعلق به پدر باشد و خود پدر آن را به عنوان مهر قرار داده باشد، وجود ندارد، زيرا حکم پدر در اين صورت کمتر از حکم اجنبی که عينی را به عنوان مهر قرار دهد نيست و لزوم دفع آن عين به زوجه نه از باب اخبار خاص بلکه به جهت تعهدی است که پدر به دفع آن به عنوان مهر کرده است.</w:t>
      </w:r>
    </w:p>
    <w:p w14:paraId="11F11224" w14:textId="77777777" w:rsidR="00DE49F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بعدی که در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مطرح شود اين است که اگر پدر با وجود فقر صغير، بگويد: «من مهر زوجه را پرداخت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کنم اما عوض آن را بعداً از صغير دريافت خواهم کرد» و به عبارت ديگر ضمان خود را برای مهر، در برابر عوض قرار دهد نه مجانی، آيا اين نحوه از ضمان جايز است يا اين که مخالف با اخبار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w:t>
      </w:r>
    </w:p>
    <w:p w14:paraId="6851B2BC" w14:textId="77777777" w:rsidR="00DE49F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مقتضای تحقيق در اين مسأله اين است که اين نحوه از ضمان جايز است، چون همان گونه که سابقاً گذشت، پدر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با وجود فقر صغير، شرط عدم ضمان کند و آنچه که در اخبار آمده است مبنی بر اين که پدر چه پرداخت مهر را تضمين کند و چه نکند، در صورت فقر صغير ضامن است، همان گونه که از علامه در تذکره گذشت، شامل موردی که پدر شرط عدم ضمان کند و يا ضمان خود را در برابر عوض قرار دهد،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w:t>
      </w:r>
    </w:p>
    <w:p w14:paraId="2142D753" w14:textId="77777777" w:rsidR="00DE49F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چنانچه صغير مالی نداشته باشد و پدر مالی به او قرض دهد تا مهر را بپردازد، آيا اين مطلب سبب سقوط ضمان از پدر و جواز بازپس</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گيری آن مال توسط پدر از صغير هست؟</w:t>
      </w:r>
    </w:p>
    <w:p w14:paraId="1C4B5CC0" w14:textId="77777777" w:rsidR="00DE49F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پاسخ اين است که اگر استقراض، به مصلحت صغير باشد، عمل پدر جايز است و ضمانی متوجه او نيست، وگرنه خارج از حيطه ولايت خود اقدام کرده و استقراض صغير صحيح نبوده و در نتيجه ضمان متوجه پدر است.</w:t>
      </w:r>
    </w:p>
    <w:p w14:paraId="1232042D" w14:textId="77777777" w:rsidR="00DE49F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با توجه به آنچه گفته شد،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در صورتی که صغير فقير نباشد و پدر به قصد رجوع بعدی به وی مهر </w:t>
      </w:r>
      <w:r>
        <w:rPr>
          <w:rFonts w:ascii="Traditional Arabic" w:hAnsi="Traditional Arabic" w:cs="Abz-2 (Badr)" w:hint="cs"/>
          <w:color w:val="000000"/>
          <w:sz w:val="28"/>
          <w:szCs w:val="28"/>
          <w:rtl/>
          <w:lang w:bidi="fa-IR"/>
        </w:rPr>
        <w:lastRenderedPageBreak/>
        <w:t>را از جانب او بدهد نيز، حق رجوع به صغير را خواهد داشت، منوط بر اين که اين عمل به مصلحت صغير باشد.</w:t>
      </w:r>
    </w:p>
    <w:p w14:paraId="23D6DE55" w14:textId="77777777" w:rsidR="00DE49FA" w:rsidRPr="00C917FD" w:rsidRDefault="00DE49FA" w:rsidP="00DE49FA">
      <w:pPr>
        <w:pStyle w:val="NormalWeb"/>
        <w:widowControl w:val="0"/>
        <w:bidi/>
        <w:spacing w:before="0" w:beforeAutospacing="0" w:after="0" w:afterAutospacing="0" w:line="252"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علامه نيز در تذکره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C917FD">
        <w:rPr>
          <w:rFonts w:ascii="Traditional Arabic" w:hAnsi="Traditional Arabic" w:cs="Abz-2 (Badr)" w:hint="cs"/>
          <w:color w:val="000000"/>
          <w:sz w:val="28"/>
          <w:szCs w:val="28"/>
          <w:rtl/>
          <w:lang w:bidi="fa-IR"/>
        </w:rPr>
        <w:t>كل</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صورة</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لا</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يضمن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w:t>
      </w:r>
      <w:r>
        <w:rPr>
          <w:rFonts w:ascii="Traditional Arabic" w:hAnsi="Traditional Arabic" w:cs="Abz-2 (Badr)" w:hint="cs"/>
          <w:color w:val="000000"/>
          <w:sz w:val="28"/>
          <w:szCs w:val="28"/>
          <w:rtl/>
          <w:lang w:bidi="fa-IR"/>
        </w:rPr>
        <w:t>أ</w:t>
      </w:r>
      <w:r w:rsidRPr="00C917FD">
        <w:rPr>
          <w:rFonts w:ascii="Traditional Arabic" w:hAnsi="Traditional Arabic" w:cs="Abz-2 (Badr)" w:hint="cs"/>
          <w:color w:val="000000"/>
          <w:sz w:val="28"/>
          <w:szCs w:val="28"/>
          <w:rtl/>
          <w:lang w:bidi="fa-IR"/>
        </w:rPr>
        <w:t>ب</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فيها</w:t>
      </w:r>
      <w:r w:rsidRPr="00C917F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 xml:space="preserve">ـ </w:t>
      </w:r>
      <w:r w:rsidRPr="00C917FD">
        <w:rPr>
          <w:rFonts w:ascii="Traditional Arabic" w:hAnsi="Traditional Arabic" w:cs="Abz-2 (Badr)" w:hint="cs"/>
          <w:color w:val="000000"/>
          <w:sz w:val="28"/>
          <w:szCs w:val="28"/>
          <w:rtl/>
          <w:lang w:bidi="fa-IR"/>
        </w:rPr>
        <w:t>كالم</w:t>
      </w:r>
      <w:r>
        <w:rPr>
          <w:rFonts w:ascii="Traditional Arabic" w:hAnsi="Traditional Arabic" w:cs="Abz-2 (Badr)" w:hint="cs"/>
          <w:color w:val="000000"/>
          <w:sz w:val="28"/>
          <w:szCs w:val="28"/>
          <w:rtl/>
          <w:lang w:bidi="fa-IR"/>
        </w:rPr>
        <w:t>ؤ</w:t>
      </w:r>
      <w:r w:rsidRPr="00C917FD">
        <w:rPr>
          <w:rFonts w:ascii="Traditional Arabic" w:hAnsi="Traditional Arabic" w:cs="Abz-2 (Badr)" w:hint="cs"/>
          <w:color w:val="000000"/>
          <w:sz w:val="28"/>
          <w:szCs w:val="28"/>
          <w:rtl/>
          <w:lang w:bidi="fa-IR"/>
        </w:rPr>
        <w:t>سر</w:t>
      </w:r>
      <w:r>
        <w:rPr>
          <w:rFonts w:ascii="Traditional Arabic" w:hAnsi="Traditional Arabic" w:cs="Abz-2 (Badr)" w:hint="cs"/>
          <w:color w:val="000000"/>
          <w:sz w:val="28"/>
          <w:szCs w:val="28"/>
          <w:rtl/>
          <w:lang w:bidi="fa-IR"/>
        </w:rPr>
        <w:t xml:space="preserve"> ـ</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لو</w:t>
      </w:r>
      <w:r w:rsidRPr="00C917F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أ</w:t>
      </w:r>
      <w:r w:rsidRPr="00C917FD">
        <w:rPr>
          <w:rFonts w:ascii="Traditional Arabic" w:hAnsi="Traditional Arabic" w:cs="Abz-2 (Badr)" w:hint="cs"/>
          <w:color w:val="000000"/>
          <w:sz w:val="28"/>
          <w:szCs w:val="28"/>
          <w:rtl/>
          <w:lang w:bidi="fa-IR"/>
        </w:rPr>
        <w:t>د</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ى</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المهر</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تبر</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عا</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لم</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يرجع</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وكذا</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w:t>
      </w:r>
      <w:r>
        <w:rPr>
          <w:rFonts w:ascii="Traditional Arabic" w:hAnsi="Traditional Arabic" w:cs="Abz-2 (Badr)" w:hint="cs"/>
          <w:color w:val="000000"/>
          <w:sz w:val="28"/>
          <w:szCs w:val="28"/>
          <w:rtl/>
          <w:lang w:bidi="fa-IR"/>
        </w:rPr>
        <w:t>أ</w:t>
      </w:r>
      <w:r w:rsidRPr="00C917FD">
        <w:rPr>
          <w:rFonts w:ascii="Traditional Arabic" w:hAnsi="Traditional Arabic" w:cs="Abz-2 (Badr)" w:hint="cs"/>
          <w:color w:val="000000"/>
          <w:sz w:val="28"/>
          <w:szCs w:val="28"/>
          <w:rtl/>
          <w:lang w:bidi="fa-IR"/>
        </w:rPr>
        <w:t>جنب</w:t>
      </w:r>
      <w:r>
        <w:rPr>
          <w:rFonts w:ascii="Traditional Arabic" w:hAnsi="Traditional Arabic" w:cs="Abz-2 (Badr)" w:hint="cs"/>
          <w:color w:val="000000"/>
          <w:sz w:val="28"/>
          <w:szCs w:val="28"/>
          <w:rtl/>
          <w:lang w:bidi="fa-IR"/>
        </w:rPr>
        <w:t>ي...</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ولو</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ضمن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صريحا</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تعل</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ق</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المهر</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بذم</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ته</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عندنا</w:t>
      </w:r>
      <w:r>
        <w:rPr>
          <w:rFonts w:ascii="Traditional Arabic" w:hAnsi="Traditional Arabic" w:cs="Abz-2 (Badr)" w:hint="cs"/>
          <w:color w:val="000000"/>
          <w:sz w:val="28"/>
          <w:szCs w:val="28"/>
          <w:rtl/>
          <w:lang w:bidi="fa-IR"/>
        </w:rPr>
        <w:t xml:space="preserve">... </w:t>
      </w:r>
      <w:r w:rsidRPr="00C917FD">
        <w:rPr>
          <w:rFonts w:ascii="Traditional Arabic" w:hAnsi="Traditional Arabic" w:cs="Abz-2 (Badr)" w:hint="cs"/>
          <w:color w:val="000000"/>
          <w:sz w:val="28"/>
          <w:szCs w:val="28"/>
          <w:rtl/>
          <w:lang w:bidi="fa-IR"/>
        </w:rPr>
        <w:t>فلو</w:t>
      </w:r>
      <w:r w:rsidRPr="00C917F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غرم</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رجع</w:t>
      </w:r>
      <w:r w:rsidRPr="00C917F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إ</w:t>
      </w:r>
      <w:r w:rsidRPr="00C917FD">
        <w:rPr>
          <w:rFonts w:ascii="Traditional Arabic" w:hAnsi="Traditional Arabic" w:cs="Abz-2 (Badr)" w:hint="cs"/>
          <w:color w:val="000000"/>
          <w:sz w:val="28"/>
          <w:szCs w:val="28"/>
          <w:rtl/>
          <w:lang w:bidi="fa-IR"/>
        </w:rPr>
        <w:t>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كان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ق</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ص</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د</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الرجوع</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ل</w:t>
      </w:r>
      <w:r>
        <w:rPr>
          <w:rFonts w:ascii="Traditional Arabic" w:hAnsi="Traditional Arabic" w:cs="Abz-2 (Badr)" w:hint="cs"/>
          <w:color w:val="000000"/>
          <w:sz w:val="28"/>
          <w:szCs w:val="28"/>
          <w:rtl/>
          <w:lang w:bidi="fa-IR"/>
        </w:rPr>
        <w:t>أ</w:t>
      </w:r>
      <w:r w:rsidRPr="00C917FD">
        <w:rPr>
          <w:rFonts w:ascii="Traditional Arabic" w:hAnsi="Traditional Arabic" w:cs="Abz-2 (Badr)" w:hint="cs"/>
          <w:color w:val="000000"/>
          <w:sz w:val="28"/>
          <w:szCs w:val="28"/>
          <w:rtl/>
          <w:lang w:bidi="fa-IR"/>
        </w:rPr>
        <w:t>ن</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قصد</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الرجوع</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هنا</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يجر</w:t>
      </w:r>
      <w:r>
        <w:rPr>
          <w:rFonts w:ascii="Traditional Arabic" w:hAnsi="Traditional Arabic" w:cs="Abz-2 (Badr)" w:hint="cs"/>
          <w:color w:val="000000"/>
          <w:sz w:val="28"/>
          <w:szCs w:val="28"/>
          <w:rtl/>
          <w:lang w:bidi="fa-IR"/>
        </w:rPr>
        <w:t>ي</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مجرى</w:t>
      </w:r>
      <w:r w:rsidRPr="00C917F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إ</w:t>
      </w:r>
      <w:r w:rsidRPr="00C917FD">
        <w:rPr>
          <w:rFonts w:ascii="Traditional Arabic" w:hAnsi="Traditional Arabic" w:cs="Abz-2 (Badr)" w:hint="cs"/>
          <w:color w:val="000000"/>
          <w:sz w:val="28"/>
          <w:szCs w:val="28"/>
          <w:rtl/>
          <w:lang w:bidi="fa-IR"/>
        </w:rPr>
        <w:t>ذن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المضمون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عنه</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في</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الضمان</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ف</w:t>
      </w:r>
      <w:r>
        <w:rPr>
          <w:rFonts w:ascii="Traditional Arabic" w:hAnsi="Traditional Arabic" w:cs="Abz-2 (Badr)" w:hint="cs"/>
          <w:color w:val="000000"/>
          <w:sz w:val="28"/>
          <w:szCs w:val="28"/>
          <w:rtl/>
          <w:lang w:bidi="fa-IR"/>
        </w:rPr>
        <w:t>إ</w:t>
      </w:r>
      <w:r w:rsidRPr="00C917FD">
        <w:rPr>
          <w:rFonts w:ascii="Traditional Arabic" w:hAnsi="Traditional Arabic" w:cs="Abz-2 (Badr)" w:hint="cs"/>
          <w:color w:val="000000"/>
          <w:sz w:val="28"/>
          <w:szCs w:val="28"/>
          <w:rtl/>
          <w:lang w:bidi="fa-IR"/>
        </w:rPr>
        <w:t>ذا</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ضمن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على</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قصد</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الرجوع</w:t>
      </w:r>
      <w:r>
        <w:rPr>
          <w:rFonts w:ascii="Traditional Arabic" w:hAnsi="Traditional Arabic" w:cs="Abz-2 (Badr)" w:hint="cs"/>
          <w:color w:val="000000"/>
          <w:sz w:val="28"/>
          <w:szCs w:val="28"/>
          <w:rtl/>
          <w:lang w:bidi="fa-IR"/>
        </w:rPr>
        <w:t xml:space="preserve"> وغرم علی قصد الرجوع،</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رجع</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قطعا</w:t>
      </w:r>
      <w:r>
        <w:rPr>
          <w:rFonts w:ascii="Traditional Arabic" w:hAnsi="Traditional Arabic" w:cs="Abz-2 (Badr)" w:hint="cs"/>
          <w:color w:val="000000"/>
          <w:sz w:val="28"/>
          <w:szCs w:val="28"/>
          <w:rtl/>
          <w:lang w:bidi="fa-IR"/>
        </w:rPr>
        <w:t>ً...</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و</w:t>
      </w:r>
      <w:r>
        <w:rPr>
          <w:rFonts w:ascii="Traditional Arabic" w:hAnsi="Traditional Arabic" w:cs="Abz-2 (Badr)" w:hint="cs"/>
          <w:color w:val="000000"/>
          <w:sz w:val="28"/>
          <w:szCs w:val="28"/>
          <w:rtl/>
          <w:lang w:bidi="fa-IR"/>
        </w:rPr>
        <w:t>إ</w:t>
      </w:r>
      <w:r w:rsidRPr="00C917FD">
        <w:rPr>
          <w:rFonts w:ascii="Traditional Arabic" w:hAnsi="Traditional Arabic" w:cs="Abz-2 (Badr)" w:hint="cs"/>
          <w:color w:val="000000"/>
          <w:sz w:val="28"/>
          <w:szCs w:val="28"/>
          <w:rtl/>
          <w:lang w:bidi="fa-IR"/>
        </w:rPr>
        <w:t>لا</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فعلى</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الخلاف</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المذكور</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في</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الضمان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بغير</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w:t>
      </w:r>
      <w:r>
        <w:rPr>
          <w:rFonts w:ascii="Traditional Arabic" w:hAnsi="Traditional Arabic" w:cs="Abz-2 (Badr)" w:hint="cs"/>
          <w:color w:val="000000"/>
          <w:sz w:val="28"/>
          <w:szCs w:val="28"/>
          <w:rtl/>
          <w:lang w:bidi="fa-IR"/>
        </w:rPr>
        <w:t>إ</w:t>
      </w:r>
      <w:r w:rsidRPr="00C917FD">
        <w:rPr>
          <w:rFonts w:ascii="Traditional Arabic" w:hAnsi="Traditional Arabic" w:cs="Abz-2 (Badr)" w:hint="cs"/>
          <w:color w:val="000000"/>
          <w:sz w:val="28"/>
          <w:szCs w:val="28"/>
          <w:rtl/>
          <w:lang w:bidi="fa-IR"/>
        </w:rPr>
        <w:t>ذن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وال</w:t>
      </w:r>
      <w:r>
        <w:rPr>
          <w:rFonts w:ascii="Traditional Arabic" w:hAnsi="Traditional Arabic" w:cs="Abz-2 (Badr)" w:hint="cs"/>
          <w:color w:val="000000"/>
          <w:sz w:val="28"/>
          <w:szCs w:val="28"/>
          <w:rtl/>
          <w:lang w:bidi="fa-IR"/>
        </w:rPr>
        <w:t>أ</w:t>
      </w:r>
      <w:r w:rsidRPr="00C917FD">
        <w:rPr>
          <w:rFonts w:ascii="Traditional Arabic" w:hAnsi="Traditional Arabic" w:cs="Abz-2 (Badr)" w:hint="cs"/>
          <w:color w:val="000000"/>
          <w:sz w:val="28"/>
          <w:szCs w:val="28"/>
          <w:rtl/>
          <w:lang w:bidi="fa-IR"/>
        </w:rPr>
        <w:t>داء</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بغير</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w:t>
      </w:r>
      <w:r>
        <w:rPr>
          <w:rFonts w:ascii="Traditional Arabic" w:hAnsi="Traditional Arabic" w:cs="Abz-2 (Badr)" w:hint="cs"/>
          <w:color w:val="000000"/>
          <w:sz w:val="28"/>
          <w:szCs w:val="28"/>
          <w:rtl/>
          <w:lang w:bidi="fa-IR"/>
        </w:rPr>
        <w:t>إ</w:t>
      </w:r>
      <w:r w:rsidRPr="00C917FD">
        <w:rPr>
          <w:rFonts w:ascii="Traditional Arabic" w:hAnsi="Traditional Arabic" w:cs="Abz-2 (Badr)" w:hint="cs"/>
          <w:color w:val="000000"/>
          <w:sz w:val="28"/>
          <w:szCs w:val="28"/>
          <w:rtl/>
          <w:lang w:bidi="fa-IR"/>
        </w:rPr>
        <w:t>ذن</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1"/>
      </w:r>
    </w:p>
    <w:p w14:paraId="051C2E43" w14:textId="77777777" w:rsidR="00DE49F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که ايشان در خصوص عدم جواز رجوع در صورت تبرّع به پرداخت مهر با عدم قصد رجوع فرموده است، مبتنی بر قاعده اقدام است، همان گونه که اگر در ضمن عقد نيز پدر ضامن مهر شود، حق رجوع از آن را نخواهد داشت و مستند آن عموم «المؤمنون عند شروطهم» است.</w:t>
      </w:r>
    </w:p>
    <w:p w14:paraId="2527697A" w14:textId="4669CB19" w:rsidR="00DE49FA"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جواز رجوع در صورتی که پدر به قصد رجوع مهر را پرداخت کرده باشد، به اين خاطر نيست که قصد در حکم اذن در ضمان است، </w:t>
      </w:r>
      <w:r w:rsidR="001C54F2">
        <w:rPr>
          <w:rFonts w:ascii="Traditional Arabic" w:hAnsi="Traditional Arabic" w:cs="Abz-2 (Badr)" w:hint="cs"/>
          <w:color w:val="000000"/>
          <w:sz w:val="28"/>
          <w:szCs w:val="28"/>
          <w:rtl/>
          <w:lang w:bidi="fa-IR"/>
        </w:rPr>
        <w:t>وگرنه بايد در اداء اجنبی هم ملتزم به همين معنا شد که امکان</w:t>
      </w:r>
      <w:r w:rsidR="001C54F2">
        <w:rPr>
          <w:rFonts w:ascii="Traditional Arabic" w:hAnsi="Traditional Arabic" w:cs="Abz-2 (Badr)"/>
          <w:color w:val="000000"/>
          <w:sz w:val="28"/>
          <w:szCs w:val="28"/>
          <w:rtl/>
          <w:lang w:bidi="fa-IR"/>
        </w:rPr>
        <w:softHyphen/>
      </w:r>
      <w:r w:rsidR="001C54F2">
        <w:rPr>
          <w:rFonts w:ascii="Traditional Arabic" w:hAnsi="Traditional Arabic" w:cs="Abz-2 (Badr)" w:hint="cs"/>
          <w:color w:val="000000"/>
          <w:sz w:val="28"/>
          <w:szCs w:val="28"/>
          <w:rtl/>
          <w:lang w:bidi="fa-IR"/>
        </w:rPr>
        <w:t xml:space="preserve">پذير نيست، </w:t>
      </w:r>
      <w:r>
        <w:rPr>
          <w:rFonts w:ascii="Traditional Arabic" w:hAnsi="Traditional Arabic" w:cs="Abz-2 (Badr)" w:hint="cs"/>
          <w:color w:val="000000"/>
          <w:sz w:val="28"/>
          <w:szCs w:val="28"/>
          <w:rtl/>
          <w:lang w:bidi="fa-IR"/>
        </w:rPr>
        <w:t>بلکه به اين واسطه است که فعل پدر از باب ولايت از وی صادر شده است و رضايت او به رجوع به صغير بعد از پرداخت مهر، به منزله رضايت صغير به اين مطلب است.</w:t>
      </w:r>
    </w:p>
    <w:p w14:paraId="74063C71" w14:textId="54C84A1D" w:rsidR="00DE49FA" w:rsidRPr="00727BA5" w:rsidRDefault="00DE49FA" w:rsidP="00DE49FA">
      <w:pPr>
        <w:pStyle w:val="NormalWeb"/>
        <w:widowControl w:val="0"/>
        <w:bidi/>
        <w:spacing w:before="0" w:beforeAutospacing="0" w:after="0" w:afterAutospacing="0" w:line="252"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البته علامه در ادامه مطلب خود فرموده است: «</w:t>
      </w:r>
      <w:r w:rsidRPr="00727BA5">
        <w:rPr>
          <w:rFonts w:ascii="Traditional Arabic" w:hAnsi="Traditional Arabic" w:cs="Abz-2 (Badr)" w:hint="cs"/>
          <w:color w:val="000000"/>
          <w:sz w:val="28"/>
          <w:szCs w:val="28"/>
          <w:rtl/>
          <w:lang w:bidi="fa-IR"/>
        </w:rPr>
        <w:t>الحق</w:t>
      </w:r>
      <w:r>
        <w:rPr>
          <w:rFonts w:ascii="Traditional Arabic" w:hAnsi="Traditional Arabic" w:cs="Abz-2 (Badr)" w:hint="cs"/>
          <w:color w:val="000000"/>
          <w:sz w:val="28"/>
          <w:szCs w:val="28"/>
          <w:rtl/>
          <w:lang w:bidi="fa-IR"/>
        </w:rPr>
        <w:t>ّ</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عندنا</w:t>
      </w:r>
      <w:r w:rsidRPr="00727BA5">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أ</w:t>
      </w:r>
      <w:r w:rsidRPr="00727BA5">
        <w:rPr>
          <w:rFonts w:ascii="Traditional Arabic" w:hAnsi="Traditional Arabic" w:cs="Abz-2 (Badr)" w:hint="cs"/>
          <w:color w:val="000000"/>
          <w:sz w:val="28"/>
          <w:szCs w:val="28"/>
          <w:rtl/>
          <w:lang w:bidi="fa-IR"/>
        </w:rPr>
        <w:t>ن</w:t>
      </w:r>
      <w:r>
        <w:rPr>
          <w:rFonts w:ascii="Traditional Arabic" w:hAnsi="Traditional Arabic" w:cs="Abz-2 (Badr)" w:hint="cs"/>
          <w:color w:val="000000"/>
          <w:sz w:val="28"/>
          <w:szCs w:val="28"/>
          <w:rtl/>
          <w:lang w:bidi="fa-IR"/>
        </w:rPr>
        <w:t>ّ</w:t>
      </w:r>
      <w:r w:rsidRPr="00727BA5">
        <w:rPr>
          <w:rFonts w:ascii="Traditional Arabic" w:hAnsi="Traditional Arabic" w:cs="Abz-2 (Badr)" w:hint="cs"/>
          <w:color w:val="000000"/>
          <w:sz w:val="28"/>
          <w:szCs w:val="28"/>
          <w:rtl/>
          <w:lang w:bidi="fa-IR"/>
        </w:rPr>
        <w:t>ه</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لا</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يرجع</w:t>
      </w:r>
      <w:r>
        <w:rPr>
          <w:rFonts w:ascii="Traditional Arabic" w:hAnsi="Traditional Arabic" w:cs="Abz-2 (Badr)" w:hint="cs"/>
          <w:color w:val="000000"/>
          <w:sz w:val="28"/>
          <w:szCs w:val="28"/>
          <w:rtl/>
          <w:lang w:bidi="fa-IR"/>
        </w:rPr>
        <w:t>،</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727BA5">
        <w:rPr>
          <w:rFonts w:ascii="Traditional Arabic" w:hAnsi="Traditional Arabic" w:cs="Abz-2 (Badr)" w:hint="cs"/>
          <w:color w:val="000000"/>
          <w:sz w:val="28"/>
          <w:szCs w:val="28"/>
          <w:rtl/>
          <w:lang w:bidi="fa-IR"/>
        </w:rPr>
        <w:t>ه</w:t>
      </w:r>
      <w:r w:rsidRPr="00727BA5">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أ</w:t>
      </w:r>
      <w:r w:rsidRPr="00727BA5">
        <w:rPr>
          <w:rFonts w:ascii="Traditional Arabic" w:hAnsi="Traditional Arabic" w:cs="Abz-2 (Badr)" w:hint="cs"/>
          <w:color w:val="000000"/>
          <w:sz w:val="28"/>
          <w:szCs w:val="28"/>
          <w:rtl/>
          <w:lang w:bidi="fa-IR"/>
        </w:rPr>
        <w:t>داء</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مال</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وجب</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عليه</w:t>
      </w:r>
      <w:r w:rsidRPr="00727BA5">
        <w:rPr>
          <w:rFonts w:ascii="Traditional Arabic" w:hAnsi="Traditional Arabic" w:cs="Abz-2 (Badr)"/>
          <w:color w:val="000000"/>
          <w:sz w:val="28"/>
          <w:szCs w:val="28"/>
          <w:rtl/>
          <w:lang w:bidi="fa-IR"/>
        </w:rPr>
        <w:t xml:space="preserve"> </w:t>
      </w:r>
      <w:r w:rsidRPr="00727BA5">
        <w:rPr>
          <w:rFonts w:ascii="Traditional Arabic" w:hAnsi="Traditional Arabic" w:cs="Abz-2 (Badr)" w:hint="cs"/>
          <w:color w:val="000000"/>
          <w:sz w:val="28"/>
          <w:szCs w:val="28"/>
          <w:rtl/>
          <w:lang w:bidi="fa-IR"/>
        </w:rPr>
        <w:t>بالشرع</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2"/>
      </w:r>
      <w:r>
        <w:rPr>
          <w:rFonts w:ascii="Traditional Arabic" w:hAnsi="Traditional Arabic" w:cs="Abz-2 (Badr)" w:hint="cs"/>
          <w:color w:val="000000"/>
          <w:sz w:val="28"/>
          <w:szCs w:val="28"/>
          <w:rtl/>
          <w:lang w:bidi="fa-IR"/>
        </w:rPr>
        <w:t xml:space="preserve"> و صاحب جواهر از آن اين گونه برداشت کرده است که ايشان بين رجوع در جايی که ضمان را </w:t>
      </w:r>
      <w:r w:rsidR="00FC5780">
        <w:rPr>
          <w:rFonts w:ascii="Traditional Arabic" w:hAnsi="Traditional Arabic" w:cs="Abz-2 (Badr)" w:hint="cs"/>
          <w:color w:val="000000"/>
          <w:sz w:val="28"/>
          <w:szCs w:val="28"/>
          <w:rtl/>
          <w:lang w:bidi="fa-IR"/>
        </w:rPr>
        <w:t xml:space="preserve">به </w:t>
      </w:r>
      <w:r>
        <w:rPr>
          <w:rFonts w:ascii="Traditional Arabic" w:hAnsi="Traditional Arabic" w:cs="Abz-2 (Badr)" w:hint="cs"/>
          <w:color w:val="000000"/>
          <w:sz w:val="28"/>
          <w:szCs w:val="28"/>
          <w:rtl/>
          <w:lang w:bidi="fa-IR"/>
        </w:rPr>
        <w:t>قصد رجوع انجام داده باشد با رجوع در جايی که اداء را به قصد رجوع انجام داده باشد، فرق گذاشته و اولی را جايز و دومی را غير جايز دانسته و سپس به ايشان اشکال کرده است که فرقی بين اين دو مورد وجود ندارد</w:t>
      </w:r>
      <w:r w:rsidRPr="00072F88">
        <w:rPr>
          <w:rFonts w:ascii="Traditional Arabic" w:hAnsi="Traditional Arabic" w:cs="Abz-2 (Badr)"/>
          <w:color w:val="000000"/>
          <w:sz w:val="28"/>
          <w:szCs w:val="28"/>
          <w:vertAlign w:val="superscript"/>
          <w:rtl/>
          <w:lang w:bidi="fa-IR"/>
        </w:rPr>
        <w:footnoteReference w:id="3"/>
      </w:r>
      <w:r>
        <w:rPr>
          <w:rFonts w:ascii="Traditional Arabic" w:hAnsi="Traditional Arabic" w:cs="Abz-2 (Badr)" w:hint="cs"/>
          <w:color w:val="000000"/>
          <w:sz w:val="28"/>
          <w:szCs w:val="28"/>
          <w:rtl/>
          <w:lang w:bidi="fa-IR"/>
        </w:rPr>
        <w:t>.</w:t>
      </w:r>
    </w:p>
    <w:p w14:paraId="2E49B410" w14:textId="77777777" w:rsidR="00DE49FA" w:rsidRPr="00AF4A3E" w:rsidRDefault="00DE49FA" w:rsidP="00DE49FA">
      <w:pPr>
        <w:pStyle w:val="NormalWeb"/>
        <w:widowControl w:val="0"/>
        <w:bidi/>
        <w:spacing w:before="0" w:beforeAutospacing="0" w:after="0" w:afterAutospacing="0" w:line="252" w:lineRule="auto"/>
        <w:ind w:firstLine="284"/>
        <w:jc w:val="both"/>
        <w:rPr>
          <w:rFonts w:ascii="Traditional Arabic" w:hAnsi="Traditional Arabic" w:cs="Abz-2 (Badr)"/>
          <w:i/>
          <w:iCs/>
          <w:color w:val="000000"/>
          <w:sz w:val="28"/>
          <w:szCs w:val="28"/>
          <w:rtl/>
          <w:lang w:bidi="fa-IR"/>
        </w:rPr>
      </w:pPr>
      <w:r>
        <w:rPr>
          <w:rFonts w:ascii="Traditional Arabic" w:hAnsi="Traditional Arabic" w:cs="Abz-2 (Badr)" w:hint="cs"/>
          <w:color w:val="000000"/>
          <w:sz w:val="28"/>
          <w:szCs w:val="28"/>
          <w:rtl/>
          <w:lang w:bidi="fa-IR"/>
        </w:rPr>
        <w:t>اما علامه فرقی بين اين دو مورد نگذاشته است، فلذا در کلام اول ايشان گذشت که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w:t>
      </w:r>
      <w:r w:rsidRPr="00C917FD">
        <w:rPr>
          <w:rFonts w:ascii="Traditional Arabic" w:hAnsi="Traditional Arabic" w:cs="Abz-2 (Badr)" w:hint="cs"/>
          <w:color w:val="000000"/>
          <w:sz w:val="28"/>
          <w:szCs w:val="28"/>
          <w:rtl/>
          <w:lang w:bidi="fa-IR"/>
        </w:rPr>
        <w:t>فلو</w:t>
      </w:r>
      <w:r w:rsidRPr="00C917F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غرم</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رجع</w:t>
      </w:r>
      <w:r w:rsidRPr="00C917FD">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إ</w:t>
      </w:r>
      <w:r w:rsidRPr="00C917FD">
        <w:rPr>
          <w:rFonts w:ascii="Traditional Arabic" w:hAnsi="Traditional Arabic" w:cs="Abz-2 (Badr)" w:hint="cs"/>
          <w:color w:val="000000"/>
          <w:sz w:val="28"/>
          <w:szCs w:val="28"/>
          <w:rtl/>
          <w:lang w:bidi="fa-IR"/>
        </w:rPr>
        <w:t>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lastRenderedPageBreak/>
        <w:t>كان</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ق</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ص</w:t>
      </w:r>
      <w:r>
        <w:rPr>
          <w:rFonts w:ascii="Traditional Arabic" w:hAnsi="Traditional Arabic" w:cs="Abz-2 (Badr)" w:hint="cs"/>
          <w:color w:val="000000"/>
          <w:sz w:val="28"/>
          <w:szCs w:val="28"/>
          <w:rtl/>
          <w:lang w:bidi="fa-IR"/>
        </w:rPr>
        <w:t>َ</w:t>
      </w:r>
      <w:r w:rsidRPr="00C917FD">
        <w:rPr>
          <w:rFonts w:ascii="Traditional Arabic" w:hAnsi="Traditional Arabic" w:cs="Abz-2 (Badr)" w:hint="cs"/>
          <w:color w:val="000000"/>
          <w:sz w:val="28"/>
          <w:szCs w:val="28"/>
          <w:rtl/>
          <w:lang w:bidi="fa-IR"/>
        </w:rPr>
        <w:t>د</w:t>
      </w:r>
      <w:r w:rsidRPr="00C917FD">
        <w:rPr>
          <w:rFonts w:ascii="Traditional Arabic" w:hAnsi="Traditional Arabic" w:cs="Abz-2 (Badr)"/>
          <w:color w:val="000000"/>
          <w:sz w:val="28"/>
          <w:szCs w:val="28"/>
          <w:rtl/>
          <w:lang w:bidi="fa-IR"/>
        </w:rPr>
        <w:t xml:space="preserve"> </w:t>
      </w:r>
      <w:r w:rsidRPr="00C917FD">
        <w:rPr>
          <w:rFonts w:ascii="Traditional Arabic" w:hAnsi="Traditional Arabic" w:cs="Abz-2 (Badr)" w:hint="cs"/>
          <w:color w:val="000000"/>
          <w:sz w:val="28"/>
          <w:szCs w:val="28"/>
          <w:rtl/>
          <w:lang w:bidi="fa-IR"/>
        </w:rPr>
        <w:t>الرجوع</w:t>
      </w:r>
      <w:r>
        <w:rPr>
          <w:rFonts w:ascii="Traditional Arabic" w:hAnsi="Traditional Arabic" w:cs="Abz-2 (Badr)" w:hint="cs"/>
          <w:color w:val="000000"/>
          <w:sz w:val="28"/>
          <w:szCs w:val="28"/>
          <w:rtl/>
          <w:lang w:bidi="fa-IR"/>
        </w:rPr>
        <w:t>»، بلکه کلام دوم ايشان ظاهراً در موردی است که ضمان شرعی بر عهده پدر باشد ـ يعنی صغير فقير باشد ـ که در اين صورت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پدر پس از اداء، حق رجوع به صغير را ندارد، ولو قصد رجوع داشته باشد، زيرا اين ضمان قهراً و توسط شارع بر عهده او گذاشته شده است، هرچند اشکال اطلاق اين مدعا در بالا گذشت و گفتيم که پدر اگر شرط کند که ضمان وی در برابر عوض باشد، اين شرط نافذ است، همان گونه که اگر شرط کند که اصلاً ضامن نباشد، خود علامه نيز اين شرط را صحيح و نافذ دانسته است.</w:t>
      </w:r>
    </w:p>
    <w:p w14:paraId="5C8D8AC6" w14:textId="77777777" w:rsidR="00DE49FA" w:rsidRDefault="00DE49FA" w:rsidP="00DE49F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مسأله بعدی در خصوص لحوق جدّ به پدر در اين مسأله است که علامه در قواعد جدّ را ملحق به پدر دانسته</w:t>
      </w:r>
      <w:r w:rsidRPr="00072F88">
        <w:rPr>
          <w:rFonts w:ascii="Traditional Arabic" w:hAnsi="Traditional Arabic" w:cs="Abz-2 (Badr)"/>
          <w:color w:val="000000"/>
          <w:sz w:val="28"/>
          <w:szCs w:val="28"/>
          <w:vertAlign w:val="superscript"/>
          <w:rtl/>
          <w:lang w:bidi="fa-IR"/>
        </w:rPr>
        <w:footnoteReference w:id="4"/>
      </w:r>
      <w:r>
        <w:rPr>
          <w:rFonts w:ascii="Traditional Arabic" w:hAnsi="Traditional Arabic" w:cs="Abz-2 (Badr)" w:hint="cs"/>
          <w:color w:val="000000"/>
          <w:sz w:val="28"/>
          <w:szCs w:val="28"/>
          <w:rtl/>
          <w:lang w:bidi="fa-IR"/>
        </w:rPr>
        <w:t>، اما کاشف اللثام در اين مطلب اشکال کرده است</w:t>
      </w:r>
      <w:r w:rsidRPr="00072F88">
        <w:rPr>
          <w:rFonts w:ascii="Traditional Arabic" w:hAnsi="Traditional Arabic" w:cs="Abz-2 (Badr)"/>
          <w:color w:val="000000"/>
          <w:sz w:val="28"/>
          <w:szCs w:val="28"/>
          <w:vertAlign w:val="superscript"/>
          <w:rtl/>
          <w:lang w:bidi="fa-IR"/>
        </w:rPr>
        <w:footnoteReference w:id="5"/>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vertAlign w:val="superscript"/>
          <w:rtl/>
          <w:lang w:bidi="fa-IR"/>
        </w:rPr>
        <w:t xml:space="preserve"> </w:t>
      </w:r>
    </w:p>
    <w:p w14:paraId="3D11BA47" w14:textId="77777777" w:rsidR="00DE49FA" w:rsidRPr="00FF4A61" w:rsidRDefault="00DE49FA" w:rsidP="00DE49FA">
      <w:pPr>
        <w:pStyle w:val="NormalWeb"/>
        <w:widowControl w:val="0"/>
        <w:bidi/>
        <w:spacing w:before="0" w:beforeAutospacing="0" w:after="0" w:afterAutospacing="0" w:line="259" w:lineRule="auto"/>
        <w:ind w:firstLine="284"/>
        <w:jc w:val="both"/>
        <w:rPr>
          <w:rFonts w:cs="Noor_Nazli"/>
          <w:sz w:val="36"/>
          <w:szCs w:val="36"/>
          <w:rtl/>
          <w:lang w:bidi="fa-IR"/>
        </w:rPr>
      </w:pPr>
      <w:r>
        <w:rPr>
          <w:rFonts w:ascii="Traditional Arabic" w:hAnsi="Traditional Arabic" w:cs="Abz-2 (Badr)" w:hint="cs"/>
          <w:color w:val="000000"/>
          <w:sz w:val="28"/>
          <w:szCs w:val="28"/>
          <w:rtl/>
          <w:lang w:bidi="fa-IR"/>
        </w:rPr>
        <w:t>صاحب جواهر در اين خصوص فرموده است: «</w:t>
      </w:r>
      <w:r w:rsidRPr="00FF4A61">
        <w:rPr>
          <w:rFonts w:ascii="Traditional Arabic" w:hAnsi="Traditional Arabic" w:cs="Abz-2 (Badr)" w:hint="cs"/>
          <w:color w:val="000000"/>
          <w:sz w:val="28"/>
          <w:szCs w:val="28"/>
          <w:rtl/>
          <w:lang w:bidi="fa-IR"/>
        </w:rPr>
        <w:t>لا</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يخفى</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مورد</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النصوص</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الأب</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وفي</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التعد</w:t>
      </w:r>
      <w:r>
        <w:rPr>
          <w:rFonts w:ascii="Traditional Arabic" w:hAnsi="Traditional Arabic" w:cs="Abz-2 (Badr)" w:hint="cs"/>
          <w:color w:val="000000"/>
          <w:sz w:val="28"/>
          <w:szCs w:val="28"/>
          <w:rtl/>
          <w:lang w:bidi="fa-IR"/>
        </w:rPr>
        <w:t>ّ</w:t>
      </w:r>
      <w:r w:rsidRPr="00FF4A61">
        <w:rPr>
          <w:rFonts w:ascii="Traditional Arabic" w:hAnsi="Traditional Arabic" w:cs="Abz-2 (Badr)" w:hint="cs"/>
          <w:color w:val="000000"/>
          <w:sz w:val="28"/>
          <w:szCs w:val="28"/>
          <w:rtl/>
          <w:lang w:bidi="fa-IR"/>
        </w:rPr>
        <w:t>ي</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إلى</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الجد</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وإن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علا</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وجهان،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كونه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أبا</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حقيقة،</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بل</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ولايته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أقوى</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ولاية</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الأب</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في</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بعض</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المواضع،</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ومن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مخالفة</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الحكم</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للأ</w:t>
      </w:r>
      <w:r>
        <w:rPr>
          <w:rFonts w:ascii="Traditional Arabic" w:hAnsi="Traditional Arabic" w:cs="Abz-2 (Badr)" w:hint="cs"/>
          <w:color w:val="000000"/>
          <w:sz w:val="28"/>
          <w:szCs w:val="28"/>
          <w:rtl/>
          <w:lang w:bidi="fa-IR"/>
        </w:rPr>
        <w:t>ُ</w:t>
      </w:r>
      <w:r w:rsidRPr="00FF4A61">
        <w:rPr>
          <w:rFonts w:ascii="Traditional Arabic" w:hAnsi="Traditional Arabic" w:cs="Abz-2 (Badr)" w:hint="cs"/>
          <w:color w:val="000000"/>
          <w:sz w:val="28"/>
          <w:szCs w:val="28"/>
          <w:rtl/>
          <w:lang w:bidi="fa-IR"/>
        </w:rPr>
        <w:t>صول،</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فينبغي</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الاقتصار</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فيه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على</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المتيق</w:t>
      </w:r>
      <w:r>
        <w:rPr>
          <w:rFonts w:ascii="Traditional Arabic" w:hAnsi="Traditional Arabic" w:cs="Abz-2 (Badr)" w:hint="cs"/>
          <w:color w:val="000000"/>
          <w:sz w:val="28"/>
          <w:szCs w:val="28"/>
          <w:rtl/>
          <w:lang w:bidi="fa-IR"/>
        </w:rPr>
        <w:t>ّ</w:t>
      </w:r>
      <w:r w:rsidRPr="00FF4A61">
        <w:rPr>
          <w:rFonts w:ascii="Traditional Arabic" w:hAnsi="Traditional Arabic" w:cs="Abz-2 (Badr)" w:hint="cs"/>
          <w:color w:val="000000"/>
          <w:sz w:val="28"/>
          <w:szCs w:val="28"/>
          <w:rtl/>
          <w:lang w:bidi="fa-IR"/>
        </w:rPr>
        <w:t>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خصوصا</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والمنساق</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منه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هنا</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الأب،</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بل</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في</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المسالك</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منع</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كونه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أبا</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حقيقة</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ولذا</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يصح</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سلبه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عنه،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ومطلق</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الاستعمال</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أعم</w:t>
      </w:r>
      <w:r>
        <w:rPr>
          <w:rFonts w:ascii="Traditional Arabic" w:hAnsi="Traditional Arabic" w:cs="Abz-2 (Badr)" w:hint="cs"/>
          <w:color w:val="000000"/>
          <w:sz w:val="28"/>
          <w:szCs w:val="28"/>
          <w:rtl/>
          <w:lang w:bidi="fa-IR"/>
        </w:rPr>
        <w:t>ّ</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الحقيقة،</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وإن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كان</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فيه</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ما</w:t>
      </w:r>
      <w:r w:rsidRPr="00FF4A61">
        <w:rPr>
          <w:rFonts w:ascii="Traditional Arabic" w:hAnsi="Traditional Arabic" w:cs="Abz-2 (Badr)"/>
          <w:color w:val="000000"/>
          <w:sz w:val="28"/>
          <w:szCs w:val="28"/>
          <w:rtl/>
          <w:lang w:bidi="fa-IR"/>
        </w:rPr>
        <w:t xml:space="preserve"> </w:t>
      </w:r>
      <w:r w:rsidRPr="00FF4A61">
        <w:rPr>
          <w:rFonts w:ascii="Traditional Arabic" w:hAnsi="Traditional Arabic" w:cs="Abz-2 (Badr)" w:hint="cs"/>
          <w:color w:val="000000"/>
          <w:sz w:val="28"/>
          <w:szCs w:val="28"/>
          <w:rtl/>
          <w:lang w:bidi="fa-IR"/>
        </w:rPr>
        <w:t>فيه</w:t>
      </w:r>
      <w:r w:rsidRPr="00FF4A61">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072F88">
        <w:rPr>
          <w:rFonts w:ascii="Traditional Arabic" w:hAnsi="Traditional Arabic" w:cs="Abz-2 (Badr)"/>
          <w:color w:val="000000"/>
          <w:sz w:val="28"/>
          <w:szCs w:val="28"/>
          <w:vertAlign w:val="superscript"/>
          <w:rtl/>
          <w:lang w:bidi="fa-IR"/>
        </w:rPr>
        <w:footnoteReference w:id="6"/>
      </w:r>
    </w:p>
    <w:p w14:paraId="02B07D23" w14:textId="1786A202" w:rsidR="00BA702C" w:rsidRDefault="00DE49FA" w:rsidP="00DE49FA">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حق نيز در اين مسأله با صاحب جواهر است و تفصيل دليل الحاق جد به پدر سابقاً و در بحث از نسب به عنوان يکی از اسباب تحريم، گذشت.</w:t>
      </w:r>
    </w:p>
    <w:sectPr w:rsidR="00BA702C" w:rsidSect="00F9625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9E676" w14:textId="77777777" w:rsidR="007D1221" w:rsidRDefault="007D1221" w:rsidP="00F71127">
      <w:pPr>
        <w:spacing w:after="0" w:line="240" w:lineRule="auto"/>
      </w:pPr>
      <w:r>
        <w:separator/>
      </w:r>
    </w:p>
  </w:endnote>
  <w:endnote w:type="continuationSeparator" w:id="0">
    <w:p w14:paraId="6E9F6DD1" w14:textId="77777777" w:rsidR="007D1221" w:rsidRDefault="007D122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8CCB6" w14:textId="77777777" w:rsidR="00F9625A" w:rsidRDefault="00F962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2626" w14:textId="77777777" w:rsidR="00F9625A" w:rsidRDefault="00F96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66C66" w14:textId="77777777" w:rsidR="007D1221" w:rsidRDefault="007D1221" w:rsidP="00EE25C0">
      <w:pPr>
        <w:bidi/>
        <w:spacing w:after="0" w:line="240" w:lineRule="auto"/>
      </w:pPr>
      <w:r>
        <w:separator/>
      </w:r>
    </w:p>
  </w:footnote>
  <w:footnote w:type="continuationSeparator" w:id="0">
    <w:p w14:paraId="152D6AF4" w14:textId="77777777" w:rsidR="007D1221" w:rsidRDefault="007D1221" w:rsidP="00F71127">
      <w:pPr>
        <w:bidi/>
        <w:spacing w:after="0" w:line="240" w:lineRule="auto"/>
      </w:pPr>
      <w:r>
        <w:continuationSeparator/>
      </w:r>
    </w:p>
  </w:footnote>
  <w:footnote w:id="1">
    <w:p w14:paraId="3C78E28B" w14:textId="77777777" w:rsidR="00DE49FA" w:rsidRPr="00DA62A6" w:rsidRDefault="00DE49FA" w:rsidP="00DE49FA">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تذکره،ج23،ص402</w:t>
      </w:r>
      <w:r w:rsidRPr="00DA62A6">
        <w:rPr>
          <w:rFonts w:cs="Abz-2 (Badr)" w:hint="cs"/>
          <w:rtl/>
        </w:rPr>
        <w:t>.</w:t>
      </w:r>
    </w:p>
  </w:footnote>
  <w:footnote w:id="2">
    <w:p w14:paraId="0497CC89" w14:textId="77777777" w:rsidR="00DE49FA" w:rsidRPr="00DA62A6" w:rsidRDefault="00DE49FA" w:rsidP="00DE49FA">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همان،ص403</w:t>
      </w:r>
      <w:r w:rsidRPr="00DA62A6">
        <w:rPr>
          <w:rFonts w:cs="Abz-2 (Badr)" w:hint="cs"/>
          <w:rtl/>
        </w:rPr>
        <w:t>.</w:t>
      </w:r>
    </w:p>
  </w:footnote>
  <w:footnote w:id="3">
    <w:p w14:paraId="4E8E55AC" w14:textId="77777777" w:rsidR="00DE49FA" w:rsidRPr="00DA62A6" w:rsidRDefault="00DE49FA" w:rsidP="00DE49FA">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جواهر،ج31،ص128</w:t>
      </w:r>
      <w:r w:rsidRPr="00DA62A6">
        <w:rPr>
          <w:rFonts w:cs="Abz-2 (Badr)" w:hint="cs"/>
          <w:rtl/>
        </w:rPr>
        <w:t>.</w:t>
      </w:r>
    </w:p>
  </w:footnote>
  <w:footnote w:id="4">
    <w:p w14:paraId="45798046" w14:textId="77777777" w:rsidR="00DE49FA" w:rsidRPr="00DA62A6" w:rsidRDefault="00DE49FA" w:rsidP="00DE49FA">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قواعد،ج3،ص87</w:t>
      </w:r>
      <w:r w:rsidRPr="00DA62A6">
        <w:rPr>
          <w:rFonts w:cs="Abz-2 (Badr)" w:hint="cs"/>
          <w:rtl/>
        </w:rPr>
        <w:t>.</w:t>
      </w:r>
    </w:p>
  </w:footnote>
  <w:footnote w:id="5">
    <w:p w14:paraId="613AE0A2" w14:textId="77777777" w:rsidR="00DE49FA" w:rsidRPr="00DA62A6" w:rsidRDefault="00DE49FA" w:rsidP="00DE49FA">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کشف اللثام،ج7،ص476</w:t>
      </w:r>
      <w:r w:rsidRPr="00DA62A6">
        <w:rPr>
          <w:rFonts w:cs="Abz-2 (Badr)" w:hint="cs"/>
          <w:rtl/>
        </w:rPr>
        <w:t>.</w:t>
      </w:r>
    </w:p>
  </w:footnote>
  <w:footnote w:id="6">
    <w:p w14:paraId="2AC89393" w14:textId="77777777" w:rsidR="00DE49FA" w:rsidRPr="00DA62A6" w:rsidRDefault="00DE49FA" w:rsidP="00DE49FA">
      <w:pPr>
        <w:pStyle w:val="FootnoteText"/>
        <w:bidi/>
        <w:jc w:val="both"/>
        <w:rPr>
          <w:rFonts w:cs="Abz-2 (Badr)"/>
          <w:lang w:bidi="fa-IR"/>
        </w:rPr>
      </w:pPr>
      <w:r w:rsidRPr="00DA62A6">
        <w:rPr>
          <w:rStyle w:val="FootnoteReference"/>
          <w:rFonts w:cs="Abz-2 (Badr)"/>
          <w:vertAlign w:val="baseline"/>
        </w:rPr>
        <w:footnoteRef/>
      </w:r>
      <w:r w:rsidRPr="00DA62A6">
        <w:rPr>
          <w:rFonts w:cs="Abz-2 (Badr)"/>
          <w:rtl/>
        </w:rPr>
        <w:t xml:space="preserve"> </w:t>
      </w:r>
      <w:r w:rsidRPr="00DA62A6">
        <w:rPr>
          <w:rFonts w:cs="Abz-2 (Badr)" w:hint="cs"/>
          <w:rtl/>
        </w:rPr>
        <w:t xml:space="preserve">ـ </w:t>
      </w:r>
      <w:r>
        <w:rPr>
          <w:rFonts w:cs="Abz-2 (Badr)" w:hint="cs"/>
          <w:rtl/>
        </w:rPr>
        <w:t>جواهر، همان</w:t>
      </w:r>
      <w:r w:rsidRPr="00DA62A6">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6E7F8" w14:textId="77777777" w:rsidR="00F9625A" w:rsidRDefault="00F962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03FD" w14:textId="57FBEB47" w:rsidR="00F9625A" w:rsidRDefault="00F9625A">
    <w:pPr>
      <w:pStyle w:val="Header"/>
    </w:pPr>
    <w:r>
      <w:rPr>
        <w:noProof/>
      </w:rPr>
      <mc:AlternateContent>
        <mc:Choice Requires="wps">
          <w:drawing>
            <wp:anchor distT="45720" distB="45720" distL="114300" distR="114300" simplePos="0" relativeHeight="251661312" behindDoc="0" locked="0" layoutInCell="1" allowOverlap="1" wp14:anchorId="767DE399" wp14:editId="7284D40E">
              <wp:simplePos x="0" y="0"/>
              <wp:positionH relativeFrom="margin">
                <wp:align>right</wp:align>
              </wp:positionH>
              <wp:positionV relativeFrom="paragraph">
                <wp:posOffset>180975</wp:posOffset>
              </wp:positionV>
              <wp:extent cx="4152900" cy="1771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771650"/>
                      </a:xfrm>
                      <a:prstGeom prst="rect">
                        <a:avLst/>
                      </a:prstGeom>
                      <a:solidFill>
                        <a:srgbClr val="FFFFFF"/>
                      </a:solidFill>
                      <a:ln w="9525">
                        <a:noFill/>
                        <a:miter lim="800000"/>
                        <a:headEnd/>
                        <a:tailEnd/>
                      </a:ln>
                    </wps:spPr>
                    <wps:txbx>
                      <w:txbxContent>
                        <w:p w14:paraId="2E25F192" w14:textId="5B3318DF" w:rsidR="00F9625A" w:rsidRDefault="00F9625A" w:rsidP="00F9625A">
                          <w:pPr>
                            <w:bidi/>
                            <w:rPr>
                              <w:rFonts w:cs="B Mehr"/>
                            </w:rPr>
                          </w:pPr>
                          <w:r>
                            <w:rPr>
                              <w:rFonts w:cs="B Mehr" w:hint="cs"/>
                              <w:rtl/>
                            </w:rPr>
                            <w:t>تقریر درس خارج فقه،  استاد حاج سید علی موسوی اردبیلی</w:t>
                          </w:r>
                          <w:r>
                            <w:rPr>
                              <w:rFonts w:cs="B Mehr" w:hint="cs"/>
                            </w:rPr>
                            <w:t xml:space="preserve"> </w:t>
                          </w:r>
                        </w:p>
                        <w:p w14:paraId="00B149E8" w14:textId="77777777" w:rsidR="00F9625A" w:rsidRDefault="00F9625A" w:rsidP="00F9625A">
                          <w:pPr>
                            <w:jc w:val="right"/>
                            <w:rPr>
                              <w:rFonts w:cs="B Mehr"/>
                            </w:rPr>
                          </w:pPr>
                          <w:r>
                            <w:rPr>
                              <w:rFonts w:cs="B Mehr" w:hint="cs"/>
                              <w:rtl/>
                            </w:rPr>
                            <w:t xml:space="preserve">مبحث: نکاح    / مهر </w:t>
                          </w:r>
                        </w:p>
                        <w:p w14:paraId="2C6CF0EB" w14:textId="621FCE21" w:rsidR="00F9625A" w:rsidRDefault="00F9625A" w:rsidP="00F9625A">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22</w:t>
                          </w:r>
                          <w:r>
                            <w:rPr>
                              <w:rFonts w:cs="B Mehr" w:hint="cs"/>
                              <w:rtl/>
                            </w:rPr>
                            <w:t xml:space="preserve"> آذر  ماه - 1402ه.ش</w:t>
                          </w:r>
                        </w:p>
                        <w:p w14:paraId="6A634495" w14:textId="77777777" w:rsidR="00F9625A" w:rsidRDefault="00F9625A" w:rsidP="00F9625A"/>
                        <w:p w14:paraId="7D4AEBF8" w14:textId="77777777" w:rsidR="00F9625A" w:rsidRDefault="00F9625A" w:rsidP="00F9625A"/>
                        <w:p w14:paraId="3E4B778A" w14:textId="77777777" w:rsidR="00F9625A" w:rsidRDefault="00F9625A" w:rsidP="00F9625A"/>
                        <w:p w14:paraId="7035B914" w14:textId="77777777" w:rsidR="00F9625A" w:rsidRDefault="00F9625A" w:rsidP="00F9625A"/>
                        <w:p w14:paraId="580A2D33" w14:textId="77777777" w:rsidR="00F9625A" w:rsidRDefault="00F9625A" w:rsidP="00F9625A"/>
                        <w:p w14:paraId="1974DDF6" w14:textId="77777777" w:rsidR="00F9625A" w:rsidRDefault="00F9625A" w:rsidP="00F9625A"/>
                        <w:p w14:paraId="3373F771" w14:textId="77777777" w:rsidR="00F9625A" w:rsidRDefault="00F9625A" w:rsidP="00F9625A"/>
                        <w:p w14:paraId="02E87210" w14:textId="77777777" w:rsidR="00F9625A" w:rsidRDefault="00F9625A" w:rsidP="00F9625A"/>
                        <w:p w14:paraId="2A6C7248" w14:textId="77777777" w:rsidR="00F9625A" w:rsidRDefault="00F9625A" w:rsidP="00F9625A"/>
                        <w:p w14:paraId="1D68FCEB" w14:textId="77777777" w:rsidR="00F9625A" w:rsidRDefault="00F9625A" w:rsidP="00F9625A"/>
                        <w:p w14:paraId="5FBB75CC" w14:textId="77777777" w:rsidR="00F9625A" w:rsidRDefault="00F9625A" w:rsidP="00F9625A"/>
                        <w:p w14:paraId="35A2F651" w14:textId="77777777" w:rsidR="00F9625A" w:rsidRDefault="00F9625A" w:rsidP="00F9625A"/>
                        <w:p w14:paraId="47D047C9" w14:textId="77777777" w:rsidR="00F9625A" w:rsidRDefault="00F9625A" w:rsidP="00F9625A"/>
                        <w:p w14:paraId="17899D3A" w14:textId="387E2A8C" w:rsidR="00F9625A" w:rsidRDefault="00F962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7DE399" id="_x0000_t202" coordsize="21600,21600" o:spt="202" path="m,l,21600r21600,l21600,xe">
              <v:stroke joinstyle="miter"/>
              <v:path gradientshapeok="t" o:connecttype="rect"/>
            </v:shapetype>
            <v:shape id="Text Box 2" o:spid="_x0000_s1026" type="#_x0000_t202" style="position:absolute;margin-left:275.8pt;margin-top:14.25pt;width:327pt;height:139.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sIzDQIAAPcDAAAOAAAAZHJzL2Uyb0RvYy54bWysU9tu2zAMfR+wfxD0vtgOkqYx4hRdugwD&#10;ugvQ7QNkWY6FyaJGKbGzrx+lpGnQvQ3Tg0CK1BF5eLS6G3vDDgq9BlvxYpJzpqyERttdxX983767&#10;5cwHYRthwKqKH5Xnd+u3b1aDK9UUOjCNQkYg1peDq3gXgiuzzMtO9cJPwClLwRawF4Fc3GUNioHQ&#10;e5NN8/wmGwAbhyCV93T6cArydcJvWyXD17b1KjBTcaotpB3TXsc9W69EuUPhOi3PZYh/qKIX2tKj&#10;F6gHEQTbo/4LqtcSwUMbJhL6DNpWS5V6oG6K/FU3T51wKvVC5Hh3ocn/P1j55fDkviEL43sYaYCp&#10;Ce8eQf70zMKmE3an7hFh6JRo6OEiUpYNzpfnq5FqX/oIUg+foaEhi32ABDS22EdWqE9G6DSA44V0&#10;NQYm6XBWzKfLnEKSYsViUdzM01gyUT5fd+jDRwU9i0bFkaaa4MXh0YdYjiifU+JrHoxuttqY5OCu&#10;3hhkB0EK2KaVOniVZiwbKr6cT+cJ2UK8n8TR60AKNbqv+G0e10kzkY4PtkkpQWhzsqkSY8/8REpO&#10;5ISxHikx8lRDcySmEE5KpJ9DRgf4m7OBVFhx/2svUHFmPllie1nMZlG2yZnNF1Ny8DpSX0eElQRV&#10;8cDZydyEJPXIg4V7mkqrE18vlZxrJXUlGs8/Icr32k9ZL/91/QcAAP//AwBQSwMEFAAGAAgAAAAh&#10;AO7fjLrcAAAABwEAAA8AAABkcnMvZG93bnJldi54bWxMj0FPg0AQhe8m/ofNmHgxdrEWqMjQqEmN&#10;19b+gAWmQGRnCbst9N87Pelx3nt575t8M9tenWn0nWOEp0UEirhydccNwuF7+7gG5YPh2vSOCeFC&#10;HjbF7U1ustpNvKPzPjRKSthnBqENYci09lVL1viFG4jFO7rRmiDn2Oh6NJOU214voyjR1nQsC60Z&#10;6KOl6md/sgjHr+khfpnKz3BId6vk3XRp6S6I93fz2yuoQHP4C8MVX9ChEKbSnbj2qkeQRwLCch2D&#10;EjeJVyKUCM9RGoMucv2fv/gFAAD//wMAUEsBAi0AFAAGAAgAAAAhALaDOJL+AAAA4QEAABMAAAAA&#10;AAAAAAAAAAAAAAAAAFtDb250ZW50X1R5cGVzXS54bWxQSwECLQAUAAYACAAAACEAOP0h/9YAAACU&#10;AQAACwAAAAAAAAAAAAAAAAAvAQAAX3JlbHMvLnJlbHNQSwECLQAUAAYACAAAACEAmG7CMw0CAAD3&#10;AwAADgAAAAAAAAAAAAAAAAAuAgAAZHJzL2Uyb0RvYy54bWxQSwECLQAUAAYACAAAACEA7t+MutwA&#10;AAAHAQAADwAAAAAAAAAAAAAAAABnBAAAZHJzL2Rvd25yZXYueG1sUEsFBgAAAAAEAAQA8wAAAHAF&#10;AAAAAA==&#10;" stroked="f">
              <v:textbox>
                <w:txbxContent>
                  <w:p w14:paraId="2E25F192" w14:textId="5B3318DF" w:rsidR="00F9625A" w:rsidRDefault="00F9625A" w:rsidP="00F9625A">
                    <w:pPr>
                      <w:bidi/>
                      <w:rPr>
                        <w:rFonts w:cs="B Mehr"/>
                      </w:rPr>
                    </w:pPr>
                    <w:r>
                      <w:rPr>
                        <w:rFonts w:cs="B Mehr" w:hint="cs"/>
                        <w:rtl/>
                      </w:rPr>
                      <w:t>تقریر درس خارج فقه،  استاد حاج سید علی موسوی اردبیلی</w:t>
                    </w:r>
                    <w:r>
                      <w:rPr>
                        <w:rFonts w:cs="B Mehr" w:hint="cs"/>
                      </w:rPr>
                      <w:t xml:space="preserve"> </w:t>
                    </w:r>
                  </w:p>
                  <w:p w14:paraId="00B149E8" w14:textId="77777777" w:rsidR="00F9625A" w:rsidRDefault="00F9625A" w:rsidP="00F9625A">
                    <w:pPr>
                      <w:jc w:val="right"/>
                      <w:rPr>
                        <w:rFonts w:cs="B Mehr"/>
                      </w:rPr>
                    </w:pPr>
                    <w:r>
                      <w:rPr>
                        <w:rFonts w:cs="B Mehr" w:hint="cs"/>
                        <w:rtl/>
                      </w:rPr>
                      <w:t xml:space="preserve">مبحث: نکاح    / مهر </w:t>
                    </w:r>
                  </w:p>
                  <w:p w14:paraId="2C6CF0EB" w14:textId="621FCE21" w:rsidR="00F9625A" w:rsidRDefault="00F9625A" w:rsidP="00F9625A">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22</w:t>
                    </w:r>
                    <w:r>
                      <w:rPr>
                        <w:rFonts w:cs="B Mehr" w:hint="cs"/>
                        <w:rtl/>
                      </w:rPr>
                      <w:t xml:space="preserve"> آذر  ماه - 1402ه.ش</w:t>
                    </w:r>
                  </w:p>
                  <w:p w14:paraId="6A634495" w14:textId="77777777" w:rsidR="00F9625A" w:rsidRDefault="00F9625A" w:rsidP="00F9625A"/>
                  <w:p w14:paraId="7D4AEBF8" w14:textId="77777777" w:rsidR="00F9625A" w:rsidRDefault="00F9625A" w:rsidP="00F9625A"/>
                  <w:p w14:paraId="3E4B778A" w14:textId="77777777" w:rsidR="00F9625A" w:rsidRDefault="00F9625A" w:rsidP="00F9625A"/>
                  <w:p w14:paraId="7035B914" w14:textId="77777777" w:rsidR="00F9625A" w:rsidRDefault="00F9625A" w:rsidP="00F9625A"/>
                  <w:p w14:paraId="580A2D33" w14:textId="77777777" w:rsidR="00F9625A" w:rsidRDefault="00F9625A" w:rsidP="00F9625A"/>
                  <w:p w14:paraId="1974DDF6" w14:textId="77777777" w:rsidR="00F9625A" w:rsidRDefault="00F9625A" w:rsidP="00F9625A"/>
                  <w:p w14:paraId="3373F771" w14:textId="77777777" w:rsidR="00F9625A" w:rsidRDefault="00F9625A" w:rsidP="00F9625A"/>
                  <w:p w14:paraId="02E87210" w14:textId="77777777" w:rsidR="00F9625A" w:rsidRDefault="00F9625A" w:rsidP="00F9625A"/>
                  <w:p w14:paraId="2A6C7248" w14:textId="77777777" w:rsidR="00F9625A" w:rsidRDefault="00F9625A" w:rsidP="00F9625A"/>
                  <w:p w14:paraId="1D68FCEB" w14:textId="77777777" w:rsidR="00F9625A" w:rsidRDefault="00F9625A" w:rsidP="00F9625A"/>
                  <w:p w14:paraId="5FBB75CC" w14:textId="77777777" w:rsidR="00F9625A" w:rsidRDefault="00F9625A" w:rsidP="00F9625A"/>
                  <w:p w14:paraId="35A2F651" w14:textId="77777777" w:rsidR="00F9625A" w:rsidRDefault="00F9625A" w:rsidP="00F9625A"/>
                  <w:p w14:paraId="47D047C9" w14:textId="77777777" w:rsidR="00F9625A" w:rsidRDefault="00F9625A" w:rsidP="00F9625A"/>
                  <w:p w14:paraId="17899D3A" w14:textId="387E2A8C" w:rsidR="00F9625A" w:rsidRDefault="00F9625A"/>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A54992B" wp14:editId="2A84E91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E2A8B" w14:textId="77777777" w:rsidR="00F9625A" w:rsidRDefault="00F962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1145E"/>
    <w:rsid w:val="00012AD4"/>
    <w:rsid w:val="00013D0D"/>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FB9"/>
    <w:rsid w:val="00064061"/>
    <w:rsid w:val="00064B62"/>
    <w:rsid w:val="00065987"/>
    <w:rsid w:val="00066A8F"/>
    <w:rsid w:val="0007062A"/>
    <w:rsid w:val="000728C1"/>
    <w:rsid w:val="00074A84"/>
    <w:rsid w:val="00074CA0"/>
    <w:rsid w:val="00077DB5"/>
    <w:rsid w:val="00084447"/>
    <w:rsid w:val="00085EBF"/>
    <w:rsid w:val="000877D0"/>
    <w:rsid w:val="000879BF"/>
    <w:rsid w:val="00090434"/>
    <w:rsid w:val="000906D6"/>
    <w:rsid w:val="00090F44"/>
    <w:rsid w:val="000935EF"/>
    <w:rsid w:val="0009371A"/>
    <w:rsid w:val="000944F3"/>
    <w:rsid w:val="00094F05"/>
    <w:rsid w:val="0009574F"/>
    <w:rsid w:val="0009649A"/>
    <w:rsid w:val="000975E4"/>
    <w:rsid w:val="000978E9"/>
    <w:rsid w:val="000A00BE"/>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1A8"/>
    <w:rsid w:val="00166D8F"/>
    <w:rsid w:val="00172532"/>
    <w:rsid w:val="001725C5"/>
    <w:rsid w:val="001729FF"/>
    <w:rsid w:val="00174ADF"/>
    <w:rsid w:val="001754C2"/>
    <w:rsid w:val="00176EB6"/>
    <w:rsid w:val="00177B0C"/>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4A02"/>
    <w:rsid w:val="00226A06"/>
    <w:rsid w:val="00230ACF"/>
    <w:rsid w:val="0023164B"/>
    <w:rsid w:val="002316AF"/>
    <w:rsid w:val="00232754"/>
    <w:rsid w:val="00232D1C"/>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131A"/>
    <w:rsid w:val="002716DD"/>
    <w:rsid w:val="002717DA"/>
    <w:rsid w:val="00272552"/>
    <w:rsid w:val="002731BF"/>
    <w:rsid w:val="002733BA"/>
    <w:rsid w:val="0027535A"/>
    <w:rsid w:val="00281694"/>
    <w:rsid w:val="00281DC9"/>
    <w:rsid w:val="002829CF"/>
    <w:rsid w:val="0028356D"/>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532C"/>
    <w:rsid w:val="002E5A8D"/>
    <w:rsid w:val="002E66CD"/>
    <w:rsid w:val="002E6A5B"/>
    <w:rsid w:val="002E7668"/>
    <w:rsid w:val="002F14F2"/>
    <w:rsid w:val="002F3DC1"/>
    <w:rsid w:val="003000EA"/>
    <w:rsid w:val="003008CA"/>
    <w:rsid w:val="003014A6"/>
    <w:rsid w:val="00301DEE"/>
    <w:rsid w:val="00302BC6"/>
    <w:rsid w:val="0030349F"/>
    <w:rsid w:val="00303843"/>
    <w:rsid w:val="00303B1E"/>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7075"/>
    <w:rsid w:val="00330590"/>
    <w:rsid w:val="003314C2"/>
    <w:rsid w:val="00331893"/>
    <w:rsid w:val="00331A5F"/>
    <w:rsid w:val="003320E2"/>
    <w:rsid w:val="003338EE"/>
    <w:rsid w:val="00334CFE"/>
    <w:rsid w:val="00335969"/>
    <w:rsid w:val="00335D24"/>
    <w:rsid w:val="003361EF"/>
    <w:rsid w:val="00336518"/>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35F2"/>
    <w:rsid w:val="00453861"/>
    <w:rsid w:val="0045392E"/>
    <w:rsid w:val="004545C6"/>
    <w:rsid w:val="004549C2"/>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1E4C"/>
    <w:rsid w:val="004A4E1E"/>
    <w:rsid w:val="004A5234"/>
    <w:rsid w:val="004A59F7"/>
    <w:rsid w:val="004A65C4"/>
    <w:rsid w:val="004A6A16"/>
    <w:rsid w:val="004B110C"/>
    <w:rsid w:val="004B143E"/>
    <w:rsid w:val="004B26CD"/>
    <w:rsid w:val="004B2B59"/>
    <w:rsid w:val="004B3F7E"/>
    <w:rsid w:val="004B5767"/>
    <w:rsid w:val="004B57B3"/>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404B"/>
    <w:rsid w:val="0052536B"/>
    <w:rsid w:val="00525A13"/>
    <w:rsid w:val="00526273"/>
    <w:rsid w:val="0052728F"/>
    <w:rsid w:val="00531236"/>
    <w:rsid w:val="005327C7"/>
    <w:rsid w:val="00535C6C"/>
    <w:rsid w:val="00537B39"/>
    <w:rsid w:val="00537B5F"/>
    <w:rsid w:val="00540354"/>
    <w:rsid w:val="005407B1"/>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6776"/>
    <w:rsid w:val="005568E8"/>
    <w:rsid w:val="00557416"/>
    <w:rsid w:val="00561AC7"/>
    <w:rsid w:val="005627B1"/>
    <w:rsid w:val="0056332E"/>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609B"/>
    <w:rsid w:val="00597D84"/>
    <w:rsid w:val="005A094B"/>
    <w:rsid w:val="005A1E62"/>
    <w:rsid w:val="005A3CD5"/>
    <w:rsid w:val="005B0498"/>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4607"/>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5FE1"/>
    <w:rsid w:val="006C0760"/>
    <w:rsid w:val="006C3E92"/>
    <w:rsid w:val="006C4BC9"/>
    <w:rsid w:val="006C580F"/>
    <w:rsid w:val="006D10C7"/>
    <w:rsid w:val="006D1572"/>
    <w:rsid w:val="006D3CB5"/>
    <w:rsid w:val="006D5754"/>
    <w:rsid w:val="006D5A51"/>
    <w:rsid w:val="006D5EC3"/>
    <w:rsid w:val="006D5FA3"/>
    <w:rsid w:val="006D6FD1"/>
    <w:rsid w:val="006D7DFB"/>
    <w:rsid w:val="006E00DF"/>
    <w:rsid w:val="006E02BE"/>
    <w:rsid w:val="006E05FA"/>
    <w:rsid w:val="006E4610"/>
    <w:rsid w:val="006E65C1"/>
    <w:rsid w:val="006F0396"/>
    <w:rsid w:val="006F03A6"/>
    <w:rsid w:val="006F1A47"/>
    <w:rsid w:val="006F2215"/>
    <w:rsid w:val="006F2321"/>
    <w:rsid w:val="006F27F8"/>
    <w:rsid w:val="006F36AA"/>
    <w:rsid w:val="006F43A3"/>
    <w:rsid w:val="006F5B67"/>
    <w:rsid w:val="00700430"/>
    <w:rsid w:val="0070259D"/>
    <w:rsid w:val="00703021"/>
    <w:rsid w:val="007044BB"/>
    <w:rsid w:val="0070519B"/>
    <w:rsid w:val="00706DD2"/>
    <w:rsid w:val="00706FC1"/>
    <w:rsid w:val="007070A3"/>
    <w:rsid w:val="007072F3"/>
    <w:rsid w:val="0071095F"/>
    <w:rsid w:val="0071215E"/>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3AC8"/>
    <w:rsid w:val="007A1AED"/>
    <w:rsid w:val="007A1EC3"/>
    <w:rsid w:val="007A3902"/>
    <w:rsid w:val="007A3BF6"/>
    <w:rsid w:val="007A642D"/>
    <w:rsid w:val="007A7947"/>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22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2EC7"/>
    <w:rsid w:val="008254E5"/>
    <w:rsid w:val="008261FB"/>
    <w:rsid w:val="008305E7"/>
    <w:rsid w:val="00830913"/>
    <w:rsid w:val="008311C3"/>
    <w:rsid w:val="00834DD1"/>
    <w:rsid w:val="008353D8"/>
    <w:rsid w:val="00836783"/>
    <w:rsid w:val="00836FC7"/>
    <w:rsid w:val="00837DBE"/>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130F"/>
    <w:rsid w:val="00871D36"/>
    <w:rsid w:val="0087360A"/>
    <w:rsid w:val="00874389"/>
    <w:rsid w:val="008751D3"/>
    <w:rsid w:val="00875CD7"/>
    <w:rsid w:val="00875F23"/>
    <w:rsid w:val="00876372"/>
    <w:rsid w:val="00880698"/>
    <w:rsid w:val="00884197"/>
    <w:rsid w:val="00884A15"/>
    <w:rsid w:val="00885A03"/>
    <w:rsid w:val="008869B4"/>
    <w:rsid w:val="00887D45"/>
    <w:rsid w:val="0089052F"/>
    <w:rsid w:val="00890818"/>
    <w:rsid w:val="00891079"/>
    <w:rsid w:val="008925F5"/>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367"/>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900093"/>
    <w:rsid w:val="00901208"/>
    <w:rsid w:val="0090198F"/>
    <w:rsid w:val="009025F1"/>
    <w:rsid w:val="00902606"/>
    <w:rsid w:val="00905F52"/>
    <w:rsid w:val="009063F5"/>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36DB"/>
    <w:rsid w:val="00974332"/>
    <w:rsid w:val="00975035"/>
    <w:rsid w:val="00975098"/>
    <w:rsid w:val="00976371"/>
    <w:rsid w:val="00984C89"/>
    <w:rsid w:val="00987056"/>
    <w:rsid w:val="0098763E"/>
    <w:rsid w:val="00990A8F"/>
    <w:rsid w:val="00990C14"/>
    <w:rsid w:val="00992BE8"/>
    <w:rsid w:val="00995859"/>
    <w:rsid w:val="0099697B"/>
    <w:rsid w:val="00996A5B"/>
    <w:rsid w:val="009A014A"/>
    <w:rsid w:val="009A076A"/>
    <w:rsid w:val="009A0D65"/>
    <w:rsid w:val="009A18D5"/>
    <w:rsid w:val="009A2AAC"/>
    <w:rsid w:val="009A3CA7"/>
    <w:rsid w:val="009A4701"/>
    <w:rsid w:val="009A4C7A"/>
    <w:rsid w:val="009A5A16"/>
    <w:rsid w:val="009A77DC"/>
    <w:rsid w:val="009B024D"/>
    <w:rsid w:val="009B0C6F"/>
    <w:rsid w:val="009B1CC0"/>
    <w:rsid w:val="009B297A"/>
    <w:rsid w:val="009B3D68"/>
    <w:rsid w:val="009B4FAB"/>
    <w:rsid w:val="009B5300"/>
    <w:rsid w:val="009B64BB"/>
    <w:rsid w:val="009C1C9D"/>
    <w:rsid w:val="009C3ECC"/>
    <w:rsid w:val="009C7DC1"/>
    <w:rsid w:val="009D0DF8"/>
    <w:rsid w:val="009D13B8"/>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E0D"/>
    <w:rsid w:val="009E6B65"/>
    <w:rsid w:val="009F19E6"/>
    <w:rsid w:val="009F1FB9"/>
    <w:rsid w:val="009F2510"/>
    <w:rsid w:val="009F39BA"/>
    <w:rsid w:val="009F53E1"/>
    <w:rsid w:val="009F561D"/>
    <w:rsid w:val="009F63C7"/>
    <w:rsid w:val="009F7308"/>
    <w:rsid w:val="009F7D29"/>
    <w:rsid w:val="00A030FF"/>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909"/>
    <w:rsid w:val="00A21EF5"/>
    <w:rsid w:val="00A2314A"/>
    <w:rsid w:val="00A23159"/>
    <w:rsid w:val="00A23AD9"/>
    <w:rsid w:val="00A2412C"/>
    <w:rsid w:val="00A24ED5"/>
    <w:rsid w:val="00A264FF"/>
    <w:rsid w:val="00A2700D"/>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81A2F"/>
    <w:rsid w:val="00A81FF9"/>
    <w:rsid w:val="00A82392"/>
    <w:rsid w:val="00A83E60"/>
    <w:rsid w:val="00A840BC"/>
    <w:rsid w:val="00A84B33"/>
    <w:rsid w:val="00A84CA4"/>
    <w:rsid w:val="00A85F65"/>
    <w:rsid w:val="00A86A43"/>
    <w:rsid w:val="00A902FE"/>
    <w:rsid w:val="00A90800"/>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30DF"/>
    <w:rsid w:val="00BC4C24"/>
    <w:rsid w:val="00BC5F0E"/>
    <w:rsid w:val="00BD0C0B"/>
    <w:rsid w:val="00BD2188"/>
    <w:rsid w:val="00BD2F36"/>
    <w:rsid w:val="00BD32E6"/>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A23"/>
    <w:rsid w:val="00C44FDD"/>
    <w:rsid w:val="00C4572A"/>
    <w:rsid w:val="00C45AF6"/>
    <w:rsid w:val="00C47047"/>
    <w:rsid w:val="00C50DB4"/>
    <w:rsid w:val="00C56FA5"/>
    <w:rsid w:val="00C5768D"/>
    <w:rsid w:val="00C616E6"/>
    <w:rsid w:val="00C63569"/>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10220"/>
    <w:rsid w:val="00D1134E"/>
    <w:rsid w:val="00D122E9"/>
    <w:rsid w:val="00D13C8D"/>
    <w:rsid w:val="00D202F8"/>
    <w:rsid w:val="00D2046D"/>
    <w:rsid w:val="00D20C84"/>
    <w:rsid w:val="00D217A3"/>
    <w:rsid w:val="00D22A70"/>
    <w:rsid w:val="00D23467"/>
    <w:rsid w:val="00D25C58"/>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2674"/>
    <w:rsid w:val="00DD3E65"/>
    <w:rsid w:val="00DD64BB"/>
    <w:rsid w:val="00DE0283"/>
    <w:rsid w:val="00DE06E9"/>
    <w:rsid w:val="00DE3EC1"/>
    <w:rsid w:val="00DE49FA"/>
    <w:rsid w:val="00DE50EC"/>
    <w:rsid w:val="00DE7A76"/>
    <w:rsid w:val="00DF1049"/>
    <w:rsid w:val="00DF22E3"/>
    <w:rsid w:val="00DF4031"/>
    <w:rsid w:val="00DF62A6"/>
    <w:rsid w:val="00E00397"/>
    <w:rsid w:val="00E0061D"/>
    <w:rsid w:val="00E00E49"/>
    <w:rsid w:val="00E0116F"/>
    <w:rsid w:val="00E0140F"/>
    <w:rsid w:val="00E0177F"/>
    <w:rsid w:val="00E01FDF"/>
    <w:rsid w:val="00E03315"/>
    <w:rsid w:val="00E05A4B"/>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408F1"/>
    <w:rsid w:val="00E421D8"/>
    <w:rsid w:val="00E432E3"/>
    <w:rsid w:val="00E452D0"/>
    <w:rsid w:val="00E464B7"/>
    <w:rsid w:val="00E4704F"/>
    <w:rsid w:val="00E47445"/>
    <w:rsid w:val="00E47900"/>
    <w:rsid w:val="00E5017B"/>
    <w:rsid w:val="00E50756"/>
    <w:rsid w:val="00E50D15"/>
    <w:rsid w:val="00E52105"/>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457A"/>
    <w:rsid w:val="00E74781"/>
    <w:rsid w:val="00E749D3"/>
    <w:rsid w:val="00E74AB7"/>
    <w:rsid w:val="00E753E1"/>
    <w:rsid w:val="00E76EAB"/>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5958"/>
    <w:rsid w:val="00EB050B"/>
    <w:rsid w:val="00EB1D58"/>
    <w:rsid w:val="00EB2FF6"/>
    <w:rsid w:val="00EB3B32"/>
    <w:rsid w:val="00EB4A29"/>
    <w:rsid w:val="00EB6244"/>
    <w:rsid w:val="00EC1721"/>
    <w:rsid w:val="00EC2D97"/>
    <w:rsid w:val="00EC2F75"/>
    <w:rsid w:val="00EC365F"/>
    <w:rsid w:val="00EC3693"/>
    <w:rsid w:val="00EC5734"/>
    <w:rsid w:val="00EC605D"/>
    <w:rsid w:val="00EC7700"/>
    <w:rsid w:val="00EC7DC8"/>
    <w:rsid w:val="00EC7F72"/>
    <w:rsid w:val="00ED2263"/>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7AD9"/>
    <w:rsid w:val="00F80B01"/>
    <w:rsid w:val="00F80BC8"/>
    <w:rsid w:val="00F82561"/>
    <w:rsid w:val="00F828C9"/>
    <w:rsid w:val="00F862D5"/>
    <w:rsid w:val="00F86BDC"/>
    <w:rsid w:val="00F86F43"/>
    <w:rsid w:val="00F871DE"/>
    <w:rsid w:val="00F90A95"/>
    <w:rsid w:val="00F90A99"/>
    <w:rsid w:val="00F91736"/>
    <w:rsid w:val="00F92E2D"/>
    <w:rsid w:val="00F95ADD"/>
    <w:rsid w:val="00F9625A"/>
    <w:rsid w:val="00F96EF4"/>
    <w:rsid w:val="00F97D88"/>
    <w:rsid w:val="00FA1A37"/>
    <w:rsid w:val="00FA1D7F"/>
    <w:rsid w:val="00FA3904"/>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10386</TotalTime>
  <Pages>1</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1271</cp:revision>
  <cp:lastPrinted>2023-12-10T07:55:00Z</cp:lastPrinted>
  <dcterms:created xsi:type="dcterms:W3CDTF">2022-10-16T08:36:00Z</dcterms:created>
  <dcterms:modified xsi:type="dcterms:W3CDTF">2023-12-13T08:12:00Z</dcterms:modified>
</cp:coreProperties>
</file>